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9C5D0C" w14:textId="77777777" w:rsidR="00236265" w:rsidRPr="00D82387" w:rsidRDefault="00236265" w:rsidP="003E28F1">
      <w:pPr>
        <w:jc w:val="center"/>
        <w:rPr>
          <w:rFonts w:ascii="Arial" w:hAnsi="Arial" w:cs="Arial"/>
          <w:b/>
        </w:rPr>
      </w:pPr>
      <w:r w:rsidRPr="00D82387">
        <w:rPr>
          <w:rFonts w:ascii="Arial" w:hAnsi="Arial" w:cs="Arial"/>
          <w:b/>
          <w:caps/>
        </w:rPr>
        <w:t>ПОЯСНИТЕЛЬНАЯ ЗАПИСКА</w:t>
      </w:r>
    </w:p>
    <w:p w14:paraId="70AA5DD0" w14:textId="77777777" w:rsidR="00236265" w:rsidRPr="00D82387" w:rsidRDefault="00236265" w:rsidP="003E28F1">
      <w:pPr>
        <w:tabs>
          <w:tab w:val="left" w:pos="0"/>
        </w:tabs>
        <w:jc w:val="center"/>
        <w:rPr>
          <w:rFonts w:ascii="Arial" w:hAnsi="Arial" w:cs="Arial"/>
          <w:b/>
        </w:rPr>
      </w:pPr>
      <w:r w:rsidRPr="00D82387">
        <w:rPr>
          <w:rFonts w:ascii="Arial" w:hAnsi="Arial" w:cs="Arial"/>
          <w:b/>
        </w:rPr>
        <w:t>к проекту межгосударственного стандарта</w:t>
      </w:r>
    </w:p>
    <w:p w14:paraId="06B73E61" w14:textId="3985012D" w:rsidR="006821C8" w:rsidRPr="00D82387" w:rsidRDefault="00637572" w:rsidP="006821C8">
      <w:pPr>
        <w:jc w:val="center"/>
        <w:rPr>
          <w:rFonts w:ascii="Arial" w:hAnsi="Arial" w:cs="Arial"/>
          <w:b/>
          <w:lang w:eastAsia="ru-RU"/>
        </w:rPr>
      </w:pPr>
      <w:r w:rsidRPr="00D82387">
        <w:rPr>
          <w:rFonts w:ascii="Arial" w:hAnsi="Arial" w:cs="Arial"/>
          <w:b/>
          <w:caps/>
        </w:rPr>
        <w:t xml:space="preserve">ГОСТ </w:t>
      </w:r>
      <w:r w:rsidR="006821C8" w:rsidRPr="00D82387">
        <w:rPr>
          <w:rFonts w:ascii="Arial" w:hAnsi="Arial" w:cs="Arial"/>
          <w:b/>
          <w:caps/>
          <w:lang w:val="en-US"/>
        </w:rPr>
        <w:t>EN</w:t>
      </w:r>
      <w:r w:rsidR="006821C8" w:rsidRPr="00D82387">
        <w:rPr>
          <w:rFonts w:ascii="Arial" w:hAnsi="Arial" w:cs="Arial"/>
          <w:b/>
          <w:caps/>
        </w:rPr>
        <w:t xml:space="preserve"> 416</w:t>
      </w:r>
      <w:r w:rsidRPr="00D82387">
        <w:rPr>
          <w:rFonts w:ascii="Arial" w:hAnsi="Arial" w:cs="Arial"/>
          <w:b/>
          <w:lang w:eastAsia="ru-RU"/>
        </w:rPr>
        <w:t xml:space="preserve"> </w:t>
      </w:r>
      <w:r w:rsidR="006821C8" w:rsidRPr="00D82387">
        <w:rPr>
          <w:rFonts w:ascii="Arial" w:hAnsi="Arial" w:cs="Arial"/>
          <w:b/>
          <w:lang w:eastAsia="ru-RU"/>
        </w:rPr>
        <w:t xml:space="preserve">Нагреватели трубчатые радиационные газовые потолочные с одной горелкой, не предназначенные для бытового применения. Безопасность и </w:t>
      </w:r>
      <w:proofErr w:type="spellStart"/>
      <w:r w:rsidR="006821C8" w:rsidRPr="00D82387">
        <w:rPr>
          <w:rFonts w:ascii="Arial" w:hAnsi="Arial" w:cs="Arial"/>
          <w:b/>
          <w:lang w:eastAsia="ru-RU"/>
        </w:rPr>
        <w:t>энергоэффективность</w:t>
      </w:r>
      <w:proofErr w:type="spellEnd"/>
      <w:r w:rsidR="006821C8" w:rsidRPr="00D82387">
        <w:rPr>
          <w:rFonts w:ascii="Arial" w:hAnsi="Arial" w:cs="Arial"/>
          <w:b/>
          <w:lang w:eastAsia="ru-RU"/>
        </w:rPr>
        <w:t xml:space="preserve"> </w:t>
      </w:r>
    </w:p>
    <w:p w14:paraId="1F5BFFDF" w14:textId="77777777" w:rsidR="00F26ECD" w:rsidRPr="00D82387" w:rsidRDefault="00F26ECD" w:rsidP="003E71DB">
      <w:pPr>
        <w:ind w:firstLine="567"/>
        <w:jc w:val="both"/>
        <w:rPr>
          <w:rFonts w:ascii="Arial" w:hAnsi="Arial" w:cs="Arial"/>
        </w:rPr>
      </w:pPr>
    </w:p>
    <w:p w14:paraId="12C3DF22" w14:textId="6A998A50" w:rsidR="00236265" w:rsidRPr="00D82387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D82387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14:paraId="7F53D93D" w14:textId="77777777" w:rsidR="00236265" w:rsidRPr="00D82387" w:rsidRDefault="00236265" w:rsidP="003E71DB">
      <w:pPr>
        <w:ind w:firstLine="567"/>
        <w:jc w:val="both"/>
        <w:rPr>
          <w:rFonts w:ascii="Arial" w:hAnsi="Arial" w:cs="Arial"/>
          <w:b/>
        </w:rPr>
      </w:pPr>
    </w:p>
    <w:p w14:paraId="4EC1FAB6" w14:textId="7963065B" w:rsidR="00236265" w:rsidRPr="00D82387" w:rsidRDefault="00236265" w:rsidP="008E2E06">
      <w:pPr>
        <w:ind w:firstLine="567"/>
        <w:jc w:val="both"/>
        <w:outlineLvl w:val="0"/>
        <w:rPr>
          <w:rFonts w:ascii="Arial" w:hAnsi="Arial" w:cs="Arial"/>
        </w:rPr>
      </w:pPr>
      <w:r w:rsidRPr="00D82387">
        <w:rPr>
          <w:rFonts w:ascii="Arial" w:hAnsi="Arial" w:cs="Arial"/>
        </w:rPr>
        <w:t>1) Национальный план стандартизации на 202</w:t>
      </w:r>
      <w:r w:rsidR="008E2E06" w:rsidRPr="00D82387">
        <w:rPr>
          <w:rFonts w:ascii="Arial" w:hAnsi="Arial" w:cs="Arial"/>
        </w:rPr>
        <w:t>2</w:t>
      </w:r>
      <w:r w:rsidRPr="00D82387">
        <w:rPr>
          <w:rFonts w:ascii="Arial" w:hAnsi="Arial" w:cs="Arial"/>
        </w:rPr>
        <w:t xml:space="preserve"> год, утвержденный приказом </w:t>
      </w:r>
      <w:r w:rsidR="008E2E06" w:rsidRPr="00D82387">
        <w:rPr>
          <w:rFonts w:ascii="Arial" w:hAnsi="Arial" w:cs="Arial"/>
        </w:rPr>
        <w:t>Председателя Комитета технического регулирования и метрологии Министерства торговли и интеграции Республики Казахстан</w:t>
      </w:r>
      <w:r w:rsidRPr="00D82387">
        <w:rPr>
          <w:rFonts w:ascii="Arial" w:hAnsi="Arial" w:cs="Arial"/>
        </w:rPr>
        <w:t xml:space="preserve"> от </w:t>
      </w:r>
      <w:r w:rsidR="008E2E06" w:rsidRPr="00D82387">
        <w:rPr>
          <w:rFonts w:ascii="Arial" w:hAnsi="Arial" w:cs="Arial"/>
        </w:rPr>
        <w:t>30 декабря 2021</w:t>
      </w:r>
      <w:r w:rsidRPr="00D82387">
        <w:rPr>
          <w:rFonts w:ascii="Arial" w:hAnsi="Arial" w:cs="Arial"/>
        </w:rPr>
        <w:t xml:space="preserve"> года № </w:t>
      </w:r>
      <w:r w:rsidR="008E2E06" w:rsidRPr="00D82387">
        <w:rPr>
          <w:rFonts w:ascii="Arial" w:hAnsi="Arial" w:cs="Arial"/>
        </w:rPr>
        <w:t>485</w:t>
      </w:r>
      <w:r w:rsidRPr="00D82387">
        <w:rPr>
          <w:rFonts w:ascii="Arial" w:hAnsi="Arial" w:cs="Arial"/>
        </w:rPr>
        <w:t>-НҚ;</w:t>
      </w:r>
    </w:p>
    <w:p w14:paraId="4542CCC8" w14:textId="767FFBE9" w:rsidR="00F26ECD" w:rsidRPr="00D82387" w:rsidRDefault="00236265" w:rsidP="00F26ECD">
      <w:pPr>
        <w:ind w:firstLine="567"/>
        <w:jc w:val="both"/>
        <w:outlineLvl w:val="0"/>
        <w:rPr>
          <w:rFonts w:ascii="Arial" w:hAnsi="Arial" w:cs="Arial"/>
        </w:rPr>
      </w:pPr>
      <w:r w:rsidRPr="00D82387">
        <w:rPr>
          <w:rFonts w:ascii="Arial" w:hAnsi="Arial" w:cs="Arial"/>
        </w:rPr>
        <w:t xml:space="preserve">2) </w:t>
      </w:r>
      <w:r w:rsidR="00F26ECD" w:rsidRPr="00D82387">
        <w:rPr>
          <w:rFonts w:ascii="Arial" w:hAnsi="Arial" w:cs="Arial"/>
        </w:rPr>
        <w:t>Программа межгосударственной стандартизации на 2022-2023 гг.</w:t>
      </w:r>
    </w:p>
    <w:p w14:paraId="17D26553" w14:textId="070E70D2" w:rsidR="00F26ECD" w:rsidRPr="00D82387" w:rsidRDefault="00236265" w:rsidP="003E71DB">
      <w:pPr>
        <w:ind w:firstLine="567"/>
        <w:jc w:val="both"/>
        <w:outlineLvl w:val="0"/>
        <w:rPr>
          <w:rFonts w:ascii="Arial" w:hAnsi="Arial" w:cs="Arial"/>
        </w:rPr>
      </w:pPr>
      <w:r w:rsidRPr="00D82387">
        <w:rPr>
          <w:rFonts w:ascii="Arial" w:hAnsi="Arial" w:cs="Arial"/>
        </w:rPr>
        <w:t xml:space="preserve">Тема внесена в ПМС под шифром </w:t>
      </w:r>
      <w:r w:rsidR="006821C8" w:rsidRPr="00D82387">
        <w:rPr>
          <w:rFonts w:ascii="Arial" w:hAnsi="Arial" w:cs="Arial"/>
        </w:rPr>
        <w:t>KZ.1.015-2022</w:t>
      </w:r>
    </w:p>
    <w:p w14:paraId="500AD924" w14:textId="77777777" w:rsidR="006821C8" w:rsidRPr="00D82387" w:rsidRDefault="006821C8" w:rsidP="003E71DB">
      <w:pPr>
        <w:ind w:firstLine="567"/>
        <w:jc w:val="both"/>
        <w:outlineLvl w:val="0"/>
        <w:rPr>
          <w:rFonts w:ascii="Arial" w:hAnsi="Arial" w:cs="Arial"/>
          <w:lang w:val="kk-KZ"/>
        </w:rPr>
      </w:pPr>
    </w:p>
    <w:p w14:paraId="04C0DA7A" w14:textId="77777777" w:rsidR="00236265" w:rsidRPr="00D82387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D82387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14:paraId="758A2028" w14:textId="77777777" w:rsidR="00236265" w:rsidRPr="00D82387" w:rsidRDefault="00236265" w:rsidP="003E71DB">
      <w:pPr>
        <w:ind w:firstLine="567"/>
        <w:jc w:val="both"/>
        <w:rPr>
          <w:rFonts w:ascii="Arial" w:hAnsi="Arial" w:cs="Arial"/>
          <w:b/>
        </w:rPr>
      </w:pPr>
    </w:p>
    <w:p w14:paraId="066E9F00" w14:textId="5E04889C" w:rsidR="006821C8" w:rsidRPr="00D82387" w:rsidRDefault="00D82387" w:rsidP="006821C8">
      <w:pPr>
        <w:ind w:firstLine="567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С</w:t>
      </w:r>
      <w:r w:rsidR="006821C8" w:rsidRPr="00D82387">
        <w:rPr>
          <w:rFonts w:ascii="Arial" w:hAnsi="Arial" w:cs="Arial"/>
          <w:lang w:val="kk-KZ"/>
        </w:rPr>
        <w:t>тандарт устанавливает требования и методы испытаний для конструкции, безопасности, классификации, маркировки и эффективности трубчатых газовых радиационных потолочных нагревателей, не предназначенных для бытового применения, оборудованных системой с одной или несколькими газовыми горелками (далее именуемых «система»), в которой каждый блок горелок регулируется автоматической системой контроля.</w:t>
      </w:r>
    </w:p>
    <w:p w14:paraId="5CD680F7" w14:textId="77777777" w:rsidR="006821C8" w:rsidRPr="00D82387" w:rsidRDefault="006821C8" w:rsidP="006821C8">
      <w:pPr>
        <w:ind w:firstLine="567"/>
        <w:jc w:val="both"/>
        <w:rPr>
          <w:rFonts w:ascii="Arial" w:hAnsi="Arial" w:cs="Arial"/>
          <w:lang w:val="kk-KZ"/>
        </w:rPr>
      </w:pPr>
      <w:r w:rsidRPr="00D82387">
        <w:rPr>
          <w:rFonts w:ascii="Arial" w:hAnsi="Arial" w:cs="Arial"/>
          <w:lang w:val="kk-KZ"/>
        </w:rPr>
        <w:t>Для трубчатых радиационных нагревателей с одной горелкой настоящий стандарт применим к приборам типа A2, A3, B12, B13, B22, B23, B42, B43, B52, B53, C12, C13, C32, C33, C52 и C53, предназначенным для применения во всех помещениях, кроме жилых, в которых подача воздуха для горения и/или вытяжки продуктов сгорания достигается механическими средствами, размещенными перед воздушным дефлектором (если последний предусмотрен).</w:t>
      </w:r>
    </w:p>
    <w:p w14:paraId="2C1E65E3" w14:textId="77777777" w:rsidR="006821C8" w:rsidRPr="00D82387" w:rsidRDefault="006821C8" w:rsidP="006821C8">
      <w:pPr>
        <w:ind w:firstLine="567"/>
        <w:jc w:val="both"/>
        <w:rPr>
          <w:rFonts w:ascii="Arial" w:hAnsi="Arial" w:cs="Arial"/>
          <w:lang w:val="kk-KZ"/>
        </w:rPr>
      </w:pPr>
      <w:r w:rsidRPr="00D82387">
        <w:rPr>
          <w:rFonts w:ascii="Arial" w:hAnsi="Arial" w:cs="Arial"/>
          <w:lang w:val="kk-KZ"/>
        </w:rPr>
        <w:t>Для систем трубчатых радиационных нагревателей, включающих несколько сегментов трубчатых нагревателей, настоящий документ применим к системам типа B52, B52x, B53 и B53x, предназначенным для применения во всех помещениях, кроме жилых, в которых подача воздуха для горения и/или вытяжки продуктов сгорания достигается механическими средствами.</w:t>
      </w:r>
    </w:p>
    <w:p w14:paraId="25378D5C" w14:textId="77777777" w:rsidR="006821C8" w:rsidRPr="00D82387" w:rsidRDefault="006821C8" w:rsidP="006821C8">
      <w:pPr>
        <w:ind w:firstLine="567"/>
        <w:jc w:val="both"/>
        <w:rPr>
          <w:rFonts w:ascii="Arial" w:hAnsi="Arial" w:cs="Arial"/>
          <w:lang w:val="kk-KZ"/>
        </w:rPr>
      </w:pPr>
      <w:r w:rsidRPr="00D82387">
        <w:rPr>
          <w:rFonts w:ascii="Arial" w:hAnsi="Arial" w:cs="Arial"/>
          <w:lang w:val="kk-KZ"/>
        </w:rPr>
        <w:t>Данный документ также распространяется на приборы, включающие вторичный теплообменник в системе дымохода.</w:t>
      </w:r>
    </w:p>
    <w:p w14:paraId="2A108942" w14:textId="7E8DD733" w:rsidR="00C0708C" w:rsidRPr="00D82387" w:rsidRDefault="00D82387" w:rsidP="006821C8">
      <w:pPr>
        <w:ind w:firstLine="567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С</w:t>
      </w:r>
      <w:r w:rsidR="006821C8" w:rsidRPr="00D82387">
        <w:rPr>
          <w:rFonts w:ascii="Arial" w:hAnsi="Arial" w:cs="Arial"/>
          <w:lang w:val="kk-KZ"/>
        </w:rPr>
        <w:t>тандарт предназначен для применения к системам, которые проходят типовые испытания.</w:t>
      </w:r>
    </w:p>
    <w:p w14:paraId="3DD961E0" w14:textId="77777777" w:rsidR="006821C8" w:rsidRPr="00D82387" w:rsidRDefault="006821C8" w:rsidP="006821C8">
      <w:pPr>
        <w:ind w:firstLine="567"/>
        <w:jc w:val="both"/>
        <w:rPr>
          <w:rFonts w:ascii="Arial" w:hAnsi="Arial" w:cs="Arial"/>
        </w:rPr>
      </w:pPr>
    </w:p>
    <w:p w14:paraId="0C8A7BAF" w14:textId="77777777" w:rsidR="00236265" w:rsidRPr="00D82387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D82387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14:paraId="3FF0D5AC" w14:textId="77777777" w:rsidR="00AF317E" w:rsidRPr="00D82387" w:rsidRDefault="00AF317E" w:rsidP="00A66BD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</w:p>
    <w:p w14:paraId="06ADAF3F" w14:textId="77777777" w:rsidR="009C11F6" w:rsidRDefault="009C11F6" w:rsidP="00D8238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9C11F6">
        <w:rPr>
          <w:rFonts w:ascii="Arial" w:hAnsi="Arial" w:cs="Arial"/>
          <w:lang w:eastAsia="en-US"/>
        </w:rPr>
        <w:t>Стандарт может быть доказательной базой статьи 4 технического регламента Таможенного союза «О безопасности аппаратов, работающих на газообразном топливе» (ТР ТС 016/2011), где установлены правила безопасности.</w:t>
      </w:r>
    </w:p>
    <w:p w14:paraId="064FF2C3" w14:textId="53192502" w:rsidR="00D82387" w:rsidRPr="00D82387" w:rsidRDefault="00F26ECD" w:rsidP="00D8238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bookmarkStart w:id="0" w:name="_GoBack"/>
      <w:bookmarkEnd w:id="0"/>
      <w:r w:rsidRPr="00D82387">
        <w:rPr>
          <w:rFonts w:ascii="Arial" w:hAnsi="Arial" w:cs="Arial"/>
          <w:lang w:eastAsia="en-US"/>
        </w:rPr>
        <w:t>Данный стандарт разработан для достижения следующих целей в области устойчивого развития: 12. Ответственное потребление и производство и цель 9: Индустриализация, инновации и инфраструктура.</w:t>
      </w:r>
    </w:p>
    <w:p w14:paraId="66AAED81" w14:textId="77777777" w:rsidR="00D82387" w:rsidRPr="00D82387" w:rsidRDefault="00D82387" w:rsidP="00D8238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D82387">
        <w:rPr>
          <w:rFonts w:ascii="Arial" w:hAnsi="Arial" w:cs="Arial"/>
          <w:lang w:val="kk-KZ" w:eastAsia="en-US"/>
        </w:rPr>
        <w:t xml:space="preserve">В данном проекте стандарта </w:t>
      </w:r>
      <w:r w:rsidRPr="00D82387">
        <w:rPr>
          <w:rFonts w:ascii="Arial" w:hAnsi="Arial" w:cs="Arial"/>
          <w:lang w:eastAsia="en-US"/>
        </w:rPr>
        <w:t xml:space="preserve">аспекты безопасности и </w:t>
      </w:r>
      <w:proofErr w:type="spellStart"/>
      <w:r w:rsidRPr="00D82387">
        <w:rPr>
          <w:rFonts w:ascii="Arial" w:hAnsi="Arial" w:cs="Arial"/>
          <w:lang w:eastAsia="en-US"/>
        </w:rPr>
        <w:t>энергоэффективности</w:t>
      </w:r>
      <w:proofErr w:type="spellEnd"/>
      <w:r w:rsidRPr="00D82387">
        <w:rPr>
          <w:rFonts w:ascii="Arial" w:hAnsi="Arial" w:cs="Arial"/>
          <w:lang w:eastAsia="en-US"/>
        </w:rPr>
        <w:t xml:space="preserve"> приборов сведены воедино. Существенными изменениями в новом документе по </w:t>
      </w:r>
      <w:r w:rsidRPr="00D82387">
        <w:rPr>
          <w:rFonts w:ascii="Arial" w:hAnsi="Arial" w:cs="Arial"/>
          <w:lang w:eastAsia="en-US"/>
        </w:rPr>
        <w:lastRenderedPageBreak/>
        <w:t xml:space="preserve">сравнению с предыдущими стандартами являются: включение новейших современных трубчатых нагревателей, уникальное и более подробное описание метода определения коэффициента излучения, включение терминов и расчетной схемы Регламента по </w:t>
      </w:r>
      <w:proofErr w:type="spellStart"/>
      <w:r w:rsidRPr="00D82387">
        <w:rPr>
          <w:rFonts w:ascii="Arial" w:hAnsi="Arial" w:cs="Arial"/>
          <w:lang w:eastAsia="en-US"/>
        </w:rPr>
        <w:t>экодизайну</w:t>
      </w:r>
      <w:proofErr w:type="spellEnd"/>
      <w:r w:rsidRPr="00D82387">
        <w:rPr>
          <w:rFonts w:ascii="Arial" w:hAnsi="Arial" w:cs="Arial"/>
          <w:lang w:eastAsia="en-US"/>
        </w:rPr>
        <w:t xml:space="preserve"> (ЕС) № 2015/1188, а также минимальные требования к дополнительному теплообменнику отработанных газов.</w:t>
      </w:r>
    </w:p>
    <w:p w14:paraId="4BDF9347" w14:textId="7080C83E" w:rsidR="00F573FF" w:rsidRPr="00D82387" w:rsidRDefault="00D82387" w:rsidP="00D8238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val="kk-KZ" w:eastAsia="en-US"/>
        </w:rPr>
        <w:t>В проекте стандарта приведены</w:t>
      </w:r>
      <w:r w:rsidRPr="00D82387">
        <w:rPr>
          <w:rFonts w:ascii="Arial" w:hAnsi="Arial" w:cs="Arial"/>
          <w:lang w:val="kk-KZ" w:eastAsia="en-US"/>
        </w:rPr>
        <w:t xml:space="preserve"> </w:t>
      </w:r>
      <w:r w:rsidRPr="00D82387">
        <w:rPr>
          <w:rFonts w:ascii="Arial" w:hAnsi="Arial" w:cs="Arial"/>
          <w:lang w:eastAsia="en-US"/>
        </w:rPr>
        <w:t xml:space="preserve">испытательные газы, испытательные давления и категории приборов, </w:t>
      </w:r>
      <w:r>
        <w:rPr>
          <w:rFonts w:ascii="Arial" w:hAnsi="Arial" w:cs="Arial"/>
          <w:lang w:val="kk-KZ" w:eastAsia="en-US"/>
        </w:rPr>
        <w:t xml:space="preserve">устанавливающие </w:t>
      </w:r>
      <w:r>
        <w:rPr>
          <w:rFonts w:ascii="Arial" w:hAnsi="Arial" w:cs="Arial"/>
          <w:lang w:eastAsia="en-US"/>
        </w:rPr>
        <w:t>с</w:t>
      </w:r>
      <w:r w:rsidRPr="00D82387">
        <w:rPr>
          <w:rFonts w:ascii="Arial" w:hAnsi="Arial" w:cs="Arial"/>
          <w:lang w:eastAsia="en-US"/>
        </w:rPr>
        <w:t xml:space="preserve">вязь с Директивой ЕС </w:t>
      </w:r>
      <w:r>
        <w:rPr>
          <w:rFonts w:ascii="Arial" w:hAnsi="Arial" w:cs="Arial"/>
          <w:lang w:eastAsia="en-US"/>
        </w:rPr>
        <w:t>см. в справочном Приложении ZA.</w:t>
      </w:r>
    </w:p>
    <w:p w14:paraId="13BF15D8" w14:textId="77777777" w:rsidR="00C0708C" w:rsidRPr="00D82387" w:rsidRDefault="00C0708C" w:rsidP="00C0708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val="kk-KZ"/>
        </w:rPr>
      </w:pPr>
    </w:p>
    <w:p w14:paraId="46D8116C" w14:textId="77777777" w:rsidR="00910D2D" w:rsidRPr="00D82387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D82387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14:paraId="6A2139BE" w14:textId="77777777" w:rsidR="00910D2D" w:rsidRPr="00D82387" w:rsidRDefault="00910D2D" w:rsidP="003E71DB">
      <w:pPr>
        <w:ind w:firstLine="567"/>
        <w:jc w:val="both"/>
        <w:rPr>
          <w:rFonts w:ascii="Arial" w:hAnsi="Arial" w:cs="Arial"/>
        </w:rPr>
      </w:pPr>
    </w:p>
    <w:p w14:paraId="7BD2192F" w14:textId="075F5207" w:rsidR="00F0442E" w:rsidRPr="00D82387" w:rsidRDefault="001D4110" w:rsidP="003E71DB">
      <w:pPr>
        <w:ind w:firstLine="567"/>
        <w:jc w:val="both"/>
        <w:rPr>
          <w:rFonts w:ascii="Arial" w:hAnsi="Arial" w:cs="Arial"/>
          <w:color w:val="000000"/>
          <w:shd w:val="clear" w:color="auto" w:fill="FFFFFF"/>
        </w:rPr>
      </w:pPr>
      <w:r w:rsidRPr="00D82387">
        <w:rPr>
          <w:rFonts w:ascii="Arial" w:hAnsi="Arial" w:cs="Arial"/>
          <w:color w:val="000000"/>
          <w:shd w:val="clear" w:color="auto" w:fill="FFFFFF"/>
        </w:rPr>
        <w:t>Настоящий стандарт взаимосвязан со следующими межгосударственными стандартами:</w:t>
      </w:r>
    </w:p>
    <w:p w14:paraId="6EDA9AE0" w14:textId="55E49100" w:rsidR="001D4110" w:rsidRPr="00D82387" w:rsidRDefault="00C010F6" w:rsidP="003E71DB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 xml:space="preserve">ГОСТ EN 126-2016 </w:t>
      </w:r>
      <w:r w:rsidR="001D4110" w:rsidRPr="00D82387">
        <w:rPr>
          <w:rFonts w:ascii="Arial" w:hAnsi="Arial" w:cs="Arial"/>
        </w:rPr>
        <w:t>Устройства управления многофунк</w:t>
      </w:r>
      <w:r w:rsidRPr="00D82387">
        <w:rPr>
          <w:rFonts w:ascii="Arial" w:hAnsi="Arial" w:cs="Arial"/>
        </w:rPr>
        <w:t>циональные для газовых приборов</w:t>
      </w:r>
    </w:p>
    <w:p w14:paraId="62AA717E" w14:textId="4658ADB8" w:rsidR="001D4110" w:rsidRPr="00D82387" w:rsidRDefault="001D4110" w:rsidP="003E71DB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ГОСТ EN 257-2010</w:t>
      </w:r>
      <w:r w:rsidR="00C010F6" w:rsidRPr="00D82387">
        <w:rPr>
          <w:rFonts w:ascii="Arial" w:hAnsi="Arial" w:cs="Arial"/>
        </w:rPr>
        <w:t xml:space="preserve"> </w:t>
      </w:r>
      <w:r w:rsidRPr="00D82387">
        <w:rPr>
          <w:rFonts w:ascii="Arial" w:hAnsi="Arial" w:cs="Arial"/>
        </w:rPr>
        <w:t>Термостаты механические для газогорелочных приборов</w:t>
      </w:r>
      <w:r w:rsidRPr="00D82387">
        <w:rPr>
          <w:rFonts w:ascii="Arial" w:hAnsi="Arial" w:cs="Arial"/>
        </w:rPr>
        <w:tab/>
      </w:r>
    </w:p>
    <w:p w14:paraId="004869DC" w14:textId="39A428D5" w:rsidR="001D4110" w:rsidRPr="00D82387" w:rsidRDefault="001D4110" w:rsidP="003E71DB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ГОСТ EN 298-2015</w:t>
      </w:r>
      <w:r w:rsidR="00C010F6" w:rsidRPr="00D82387">
        <w:rPr>
          <w:rFonts w:ascii="Arial" w:hAnsi="Arial" w:cs="Arial"/>
        </w:rPr>
        <w:t xml:space="preserve"> </w:t>
      </w:r>
      <w:r w:rsidRPr="00D82387">
        <w:rPr>
          <w:rFonts w:ascii="Arial" w:hAnsi="Arial" w:cs="Arial"/>
        </w:rPr>
        <w:t>Автоматические системы контроля горения для горелок и аппаратов, сжигающих г</w:t>
      </w:r>
      <w:r w:rsidR="00C010F6" w:rsidRPr="00D82387">
        <w:rPr>
          <w:rFonts w:ascii="Arial" w:hAnsi="Arial" w:cs="Arial"/>
        </w:rPr>
        <w:t>азообразное или жидкое топливо.</w:t>
      </w:r>
    </w:p>
    <w:p w14:paraId="21E26092" w14:textId="6AF98F67" w:rsidR="001D4110" w:rsidRPr="00D82387" w:rsidRDefault="001D4110" w:rsidP="003E71DB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ГОСТ EN 1106-2010</w:t>
      </w:r>
      <w:r w:rsidR="00C010F6" w:rsidRPr="00D82387">
        <w:rPr>
          <w:rFonts w:ascii="Arial" w:hAnsi="Arial" w:cs="Arial"/>
        </w:rPr>
        <w:t xml:space="preserve"> </w:t>
      </w:r>
      <w:r w:rsidRPr="00D82387">
        <w:rPr>
          <w:rFonts w:ascii="Arial" w:hAnsi="Arial" w:cs="Arial"/>
        </w:rPr>
        <w:t>Краны ручного рег</w:t>
      </w:r>
      <w:r w:rsidR="00C010F6" w:rsidRPr="00D82387">
        <w:rPr>
          <w:rFonts w:ascii="Arial" w:hAnsi="Arial" w:cs="Arial"/>
        </w:rPr>
        <w:t>улирования для газовых приборов</w:t>
      </w:r>
    </w:p>
    <w:p w14:paraId="2EA453DC" w14:textId="5CB71B0D" w:rsidR="00C010F6" w:rsidRPr="00D82387" w:rsidRDefault="00C010F6" w:rsidP="003E71DB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ГОСТ IEC 60335-1-2015 Безопасность бытовых и аналогичных электрических приборов. Часть 1. Общие требования</w:t>
      </w:r>
    </w:p>
    <w:p w14:paraId="7795B3E9" w14:textId="39901397" w:rsidR="00C010F6" w:rsidRPr="00D82387" w:rsidRDefault="00C010F6" w:rsidP="003E71DB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ГОСТ ISO/IEC 17025-2019</w:t>
      </w:r>
      <w:r w:rsidRPr="00D82387">
        <w:rPr>
          <w:rFonts w:ascii="Arial" w:hAnsi="Arial" w:cs="Arial"/>
        </w:rPr>
        <w:tab/>
        <w:t>Общие требования к компетентности испытательных и калибровочных лабораторий</w:t>
      </w:r>
    </w:p>
    <w:p w14:paraId="674C5388" w14:textId="75692BBA" w:rsidR="00C010F6" w:rsidRPr="00D82387" w:rsidRDefault="00C010F6" w:rsidP="003E71DB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ГОСТ 33259-2015 Фланцы арматуры, соединительных частей и трубопроводов на номинальное давление от PN1 до PN200. Конструкция, размеры и общие технические требования.</w:t>
      </w:r>
      <w:r w:rsidRPr="00D82387">
        <w:rPr>
          <w:rFonts w:ascii="Arial" w:hAnsi="Arial" w:cs="Arial"/>
        </w:rPr>
        <w:tab/>
      </w:r>
    </w:p>
    <w:p w14:paraId="6C0FAE68" w14:textId="50FA97A9" w:rsidR="00C010F6" w:rsidRPr="00D82387" w:rsidRDefault="00C010F6" w:rsidP="00C010F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pacing w:val="2"/>
          <w:shd w:val="clear" w:color="auto" w:fill="FFFFFF"/>
        </w:rPr>
      </w:pPr>
      <w:r w:rsidRPr="00D82387">
        <w:rPr>
          <w:rFonts w:ascii="Arial" w:hAnsi="Arial" w:cs="Arial"/>
          <w:spacing w:val="2"/>
          <w:shd w:val="clear" w:color="auto" w:fill="FFFFFF"/>
        </w:rPr>
        <w:t xml:space="preserve">Также при разработке настоящего межгосударственного стандарта применялся </w:t>
      </w:r>
      <w:proofErr w:type="spellStart"/>
      <w:r w:rsidRPr="00D82387">
        <w:rPr>
          <w:rFonts w:ascii="Arial" w:hAnsi="Arial" w:cs="Arial"/>
          <w:spacing w:val="2"/>
          <w:shd w:val="clear" w:color="auto" w:fill="FFFFFF"/>
        </w:rPr>
        <w:t>следующи</w:t>
      </w:r>
      <w:proofErr w:type="spellEnd"/>
      <w:r w:rsidR="00D82387">
        <w:rPr>
          <w:rFonts w:ascii="Arial" w:hAnsi="Arial" w:cs="Arial"/>
          <w:spacing w:val="2"/>
          <w:shd w:val="clear" w:color="auto" w:fill="FFFFFF"/>
          <w:lang w:val="kk-KZ"/>
        </w:rPr>
        <w:t>е</w:t>
      </w:r>
      <w:r w:rsidRPr="00D82387">
        <w:rPr>
          <w:rFonts w:ascii="Arial" w:hAnsi="Arial" w:cs="Arial"/>
          <w:spacing w:val="2"/>
          <w:shd w:val="clear" w:color="auto" w:fill="FFFFFF"/>
        </w:rPr>
        <w:t xml:space="preserve"> </w:t>
      </w:r>
      <w:proofErr w:type="spellStart"/>
      <w:r w:rsidRPr="00D82387">
        <w:rPr>
          <w:rFonts w:ascii="Arial" w:hAnsi="Arial" w:cs="Arial"/>
          <w:spacing w:val="2"/>
          <w:shd w:val="clear" w:color="auto" w:fill="FFFFFF"/>
        </w:rPr>
        <w:t>международны</w:t>
      </w:r>
      <w:proofErr w:type="spellEnd"/>
      <w:r w:rsidR="00D82387">
        <w:rPr>
          <w:rFonts w:ascii="Arial" w:hAnsi="Arial" w:cs="Arial"/>
          <w:spacing w:val="2"/>
          <w:shd w:val="clear" w:color="auto" w:fill="FFFFFF"/>
          <w:lang w:val="kk-KZ"/>
        </w:rPr>
        <w:t>е</w:t>
      </w:r>
      <w:r w:rsidRPr="00D82387">
        <w:rPr>
          <w:rFonts w:ascii="Arial" w:hAnsi="Arial" w:cs="Arial"/>
          <w:spacing w:val="2"/>
          <w:shd w:val="clear" w:color="auto" w:fill="FFFFFF"/>
        </w:rPr>
        <w:t xml:space="preserve"> стандарт</w:t>
      </w:r>
      <w:r w:rsidR="00D82387">
        <w:rPr>
          <w:rFonts w:ascii="Arial" w:hAnsi="Arial" w:cs="Arial"/>
          <w:spacing w:val="2"/>
          <w:shd w:val="clear" w:color="auto" w:fill="FFFFFF"/>
          <w:lang w:val="kk-KZ"/>
        </w:rPr>
        <w:t>ы</w:t>
      </w:r>
      <w:r w:rsidRPr="00D82387">
        <w:rPr>
          <w:rFonts w:ascii="Arial" w:hAnsi="Arial" w:cs="Arial"/>
          <w:spacing w:val="2"/>
          <w:shd w:val="clear" w:color="auto" w:fill="FFFFFF"/>
        </w:rPr>
        <w:t>:</w:t>
      </w:r>
    </w:p>
    <w:p w14:paraId="6A8F38A2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EN 88-1:2011, Регуляторы давления и связанные с ними устройства безопасности для газовых приборов. Часть 1. Регуляторы давления для давлений на входе до и включая 50 кПа</w:t>
      </w:r>
    </w:p>
    <w:p w14:paraId="2B9EB3E9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EN 161:2011+A3:2013, Клапаны отсечные автоматические для газовых горелок и газовых приборов</w:t>
      </w:r>
    </w:p>
    <w:p w14:paraId="42789D47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EN 437:2003+A1:2009, Испытательные газы. Испытательные давления. Категории прибора</w:t>
      </w:r>
    </w:p>
    <w:p w14:paraId="28367A90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EN 1057:2006+A1:2010, Медь и медные сплавы. Трубы круглые медные бесшовные для воды и газа санитарно-технического назначения и отопительные</w:t>
      </w:r>
    </w:p>
    <w:p w14:paraId="5ED5627C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 xml:space="preserve">EN 1856-1:2009, Трубы дымовые. Требования к металлическим дымовым трубам. Часть 1. Компоненты системы дымовых труб </w:t>
      </w:r>
    </w:p>
    <w:p w14:paraId="3B300A63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EN 1859:2009+A1:2013, Дымоходы. Металлические дымоходы. Методы тестирования</w:t>
      </w:r>
    </w:p>
    <w:p w14:paraId="3D0B3B8D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 xml:space="preserve">EN 10226-1:2004, Резьбы трубные, где плотное соединение под давлением, выполнено на </w:t>
      </w:r>
      <w:proofErr w:type="spellStart"/>
      <w:r w:rsidRPr="00D82387">
        <w:rPr>
          <w:rFonts w:ascii="Arial" w:hAnsi="Arial" w:cs="Arial"/>
        </w:rPr>
        <w:t>резбе</w:t>
      </w:r>
      <w:proofErr w:type="spellEnd"/>
      <w:r w:rsidRPr="00D82387">
        <w:rPr>
          <w:rFonts w:ascii="Arial" w:hAnsi="Arial" w:cs="Arial"/>
        </w:rPr>
        <w:t>. Часть 1. Конусообразные наружные резьбы и параллельные внутренние резьбы. Размеры, допуски и обозначение</w:t>
      </w:r>
    </w:p>
    <w:p w14:paraId="72F863EA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 xml:space="preserve">EN 10226-2:2005, Резьбы трубные, где плотное соединение под давлением, выполнено на </w:t>
      </w:r>
      <w:proofErr w:type="spellStart"/>
      <w:r w:rsidRPr="00D82387">
        <w:rPr>
          <w:rFonts w:ascii="Arial" w:hAnsi="Arial" w:cs="Arial"/>
        </w:rPr>
        <w:t>резбе</w:t>
      </w:r>
      <w:proofErr w:type="spellEnd"/>
      <w:r w:rsidRPr="00D82387">
        <w:rPr>
          <w:rFonts w:ascii="Arial" w:hAnsi="Arial" w:cs="Arial"/>
        </w:rPr>
        <w:t>. Часть 2. Конусообразные наружные резьбы и конусообразные внутренние резьбы. Размеры, допуски и обозначение</w:t>
      </w:r>
    </w:p>
    <w:p w14:paraId="3E1E0417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lastRenderedPageBreak/>
        <w:t xml:space="preserve">EN 12067-2:2004, Регуляторы распределения </w:t>
      </w:r>
      <w:proofErr w:type="spellStart"/>
      <w:r w:rsidRPr="00D82387">
        <w:rPr>
          <w:rFonts w:ascii="Arial" w:hAnsi="Arial" w:cs="Arial"/>
        </w:rPr>
        <w:t>газовоздушной</w:t>
      </w:r>
      <w:proofErr w:type="spellEnd"/>
      <w:r w:rsidRPr="00D82387">
        <w:rPr>
          <w:rFonts w:ascii="Arial" w:hAnsi="Arial" w:cs="Arial"/>
        </w:rPr>
        <w:t xml:space="preserve"> смеси для газовых горелок и газовых приборов. Часть 2. Электронное исполнение</w:t>
      </w:r>
    </w:p>
    <w:p w14:paraId="208FB867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EN 12828:2012+A1:2014, Системы отопления в зданиях. Проектирование систем водяного отопления</w:t>
      </w:r>
    </w:p>
    <w:p w14:paraId="44A21D49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EN 13216-1:2004, Дымоходы. Методы испытания системы дымоходов. Часть 1. Общие методы испытания</w:t>
      </w:r>
    </w:p>
    <w:p w14:paraId="1A4A5981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 xml:space="preserve">EN 13410:2001, Устройства отопительные радиационные, работающие на газовом топливе. Требования к вентиляции зданий </w:t>
      </w:r>
      <w:proofErr w:type="spellStart"/>
      <w:r w:rsidRPr="00D82387">
        <w:rPr>
          <w:rFonts w:ascii="Arial" w:hAnsi="Arial" w:cs="Arial"/>
        </w:rPr>
        <w:t>небытового</w:t>
      </w:r>
      <w:proofErr w:type="spellEnd"/>
      <w:r w:rsidRPr="00D82387">
        <w:rPr>
          <w:rFonts w:ascii="Arial" w:hAnsi="Arial" w:cs="Arial"/>
        </w:rPr>
        <w:t xml:space="preserve"> назначения</w:t>
      </w:r>
    </w:p>
    <w:p w14:paraId="3158777D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EN 14459:2015, Устройства безопасности и управления для горелок и приборов, сжигающих газовое или жидкое топливо. Функции управления в электронных системах. Методы классификации и оценки</w:t>
      </w:r>
    </w:p>
    <w:p w14:paraId="29ECD725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 xml:space="preserve">EN 14597:2012, Регуляторы и ограничители температур для бойлерных установок </w:t>
      </w:r>
    </w:p>
    <w:p w14:paraId="7E066D05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EN 14800:2007, Комплекты металлических шлангов, защищенные от коррозии, предназначенные для подсоединения бытовых приборов, работающих на газообразном топливе</w:t>
      </w:r>
    </w:p>
    <w:p w14:paraId="2C4458C5" w14:textId="72BEFB90" w:rsidR="00C010F6" w:rsidRPr="00D82387" w:rsidRDefault="00D82387" w:rsidP="00C010F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60529:1991, </w:t>
      </w:r>
      <w:r w:rsidR="00C010F6" w:rsidRPr="00D82387">
        <w:rPr>
          <w:rFonts w:ascii="Arial" w:hAnsi="Arial" w:cs="Arial"/>
        </w:rPr>
        <w:t>Степени защиты, обеспечиваемые корпусами (код IP) (IEC 60529:1989)</w:t>
      </w:r>
    </w:p>
    <w:p w14:paraId="550E3589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EN 60584-1:2013, Термопары. Часть 1. Спецификация и допуски для электродвижущей силы (EMF)</w:t>
      </w:r>
    </w:p>
    <w:p w14:paraId="1D28BCE9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EN 60751:2008, Термометры сопротивления промышленные платиновые и платиновые температурные датчики (IEC 60751:2008)</w:t>
      </w:r>
    </w:p>
    <w:p w14:paraId="3EE3FEF3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EN ISO 228-1:2003, Резьбы трубные, не обеспечивающие герметичность соединения. Часть 1. Размеры, допуски и обозначения (ISO 228-1:2000)</w:t>
      </w:r>
    </w:p>
    <w:p w14:paraId="4BB894FB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EN ISO 3166-1:2014, Коды для представления названий стран и их более мелких делений. Часть 1. Коды стран (ISO 3166-1:2013)</w:t>
      </w:r>
    </w:p>
    <w:p w14:paraId="03383FD2" w14:textId="77777777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EN ISO/IEC 17025:2005, Общие требования к компетентности испытательных и калибровочных лабораторий (ISO/IEC17025:2005)</w:t>
      </w:r>
    </w:p>
    <w:p w14:paraId="68205FC4" w14:textId="1FF51E94" w:rsidR="00C010F6" w:rsidRPr="00D82387" w:rsidRDefault="00C010F6" w:rsidP="00C010F6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ISO 7-</w:t>
      </w:r>
      <w:proofErr w:type="gramStart"/>
      <w:r w:rsidRPr="00D82387">
        <w:rPr>
          <w:rFonts w:ascii="Arial" w:hAnsi="Arial" w:cs="Arial"/>
        </w:rPr>
        <w:t>1,  Резьбы</w:t>
      </w:r>
      <w:proofErr w:type="gramEnd"/>
      <w:r w:rsidRPr="00D82387">
        <w:rPr>
          <w:rFonts w:ascii="Arial" w:hAnsi="Arial" w:cs="Arial"/>
        </w:rPr>
        <w:t xml:space="preserve"> трубные, обеспечивающие герметичность соединения. Часть 1. Размеры, допуски и обозначение</w:t>
      </w:r>
    </w:p>
    <w:p w14:paraId="72567BE7" w14:textId="0ADFD1DB" w:rsidR="00910D2D" w:rsidRPr="00D82387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D82387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14:paraId="478275B5" w14:textId="77777777" w:rsidR="001D4110" w:rsidRPr="00D82387" w:rsidRDefault="001D4110" w:rsidP="003E71DB">
      <w:pPr>
        <w:ind w:firstLine="567"/>
        <w:jc w:val="both"/>
        <w:rPr>
          <w:rFonts w:ascii="Arial" w:hAnsi="Arial" w:cs="Arial"/>
          <w:b/>
        </w:rPr>
      </w:pPr>
    </w:p>
    <w:p w14:paraId="4C87A55D" w14:textId="77777777" w:rsidR="001D4110" w:rsidRPr="00D82387" w:rsidRDefault="001D4110" w:rsidP="001D4110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>Принятие настоящего стандарта не потребует пересмотра действующих стандартов и не влечет за собой внесения изменений или отмены других нормативных документов.</w:t>
      </w:r>
    </w:p>
    <w:p w14:paraId="7ADC524A" w14:textId="77777777" w:rsidR="00910D2D" w:rsidRPr="00D82387" w:rsidRDefault="00910D2D" w:rsidP="003E71DB">
      <w:pPr>
        <w:ind w:firstLine="567"/>
        <w:jc w:val="both"/>
        <w:outlineLvl w:val="0"/>
        <w:rPr>
          <w:rFonts w:ascii="Arial" w:hAnsi="Arial" w:cs="Arial"/>
        </w:rPr>
      </w:pPr>
    </w:p>
    <w:p w14:paraId="1738264F" w14:textId="77777777" w:rsidR="00910D2D" w:rsidRPr="00D82387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D82387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14:paraId="60225374" w14:textId="77777777" w:rsidR="00910D2D" w:rsidRPr="00D82387" w:rsidRDefault="00910D2D" w:rsidP="003E71DB">
      <w:pPr>
        <w:ind w:firstLine="567"/>
        <w:jc w:val="both"/>
        <w:rPr>
          <w:rFonts w:ascii="Arial" w:hAnsi="Arial" w:cs="Arial"/>
        </w:rPr>
      </w:pPr>
    </w:p>
    <w:p w14:paraId="11248FE9" w14:textId="527369A7" w:rsidR="006821C8" w:rsidRPr="00D82387" w:rsidRDefault="00910D2D" w:rsidP="006821C8">
      <w:pPr>
        <w:ind w:firstLine="567"/>
        <w:jc w:val="both"/>
        <w:rPr>
          <w:rFonts w:ascii="Arial" w:hAnsi="Arial" w:cs="Arial"/>
        </w:rPr>
      </w:pPr>
      <w:r w:rsidRPr="00D82387">
        <w:rPr>
          <w:rFonts w:ascii="Arial" w:hAnsi="Arial" w:cs="Arial"/>
        </w:rPr>
        <w:t xml:space="preserve">В качестве основной нормативной базы (первоисточника) предлагается </w:t>
      </w:r>
      <w:r w:rsidRPr="00D82387">
        <w:rPr>
          <w:rFonts w:ascii="Arial" w:hAnsi="Arial" w:cs="Arial"/>
        </w:rPr>
        <w:br/>
      </w:r>
      <w:r w:rsidR="006821C8" w:rsidRPr="00D82387">
        <w:rPr>
          <w:rFonts w:ascii="Arial" w:hAnsi="Arial" w:cs="Arial"/>
        </w:rPr>
        <w:t xml:space="preserve">EN 416:2019 </w:t>
      </w:r>
      <w:r w:rsidR="006821C8" w:rsidRPr="00D82387">
        <w:rPr>
          <w:rFonts w:ascii="Arial" w:hAnsi="Arial" w:cs="Arial"/>
          <w:lang w:val="en-US"/>
        </w:rPr>
        <w:t>Gas</w:t>
      </w:r>
      <w:r w:rsidR="006821C8" w:rsidRPr="00D82387">
        <w:rPr>
          <w:rFonts w:ascii="Arial" w:hAnsi="Arial" w:cs="Arial"/>
        </w:rPr>
        <w:t xml:space="preserve"> — </w:t>
      </w:r>
      <w:r w:rsidR="006821C8" w:rsidRPr="00D82387">
        <w:rPr>
          <w:rFonts w:ascii="Arial" w:hAnsi="Arial" w:cs="Arial"/>
          <w:lang w:val="en-US"/>
        </w:rPr>
        <w:t>fired</w:t>
      </w:r>
      <w:r w:rsidR="006821C8" w:rsidRPr="00D82387">
        <w:rPr>
          <w:rFonts w:ascii="Arial" w:hAnsi="Arial" w:cs="Arial"/>
        </w:rPr>
        <w:t xml:space="preserve"> </w:t>
      </w:r>
      <w:r w:rsidR="006821C8" w:rsidRPr="00D82387">
        <w:rPr>
          <w:rFonts w:ascii="Arial" w:hAnsi="Arial" w:cs="Arial"/>
          <w:lang w:val="en-US"/>
        </w:rPr>
        <w:t>overhead</w:t>
      </w:r>
      <w:r w:rsidR="006821C8" w:rsidRPr="00D82387">
        <w:rPr>
          <w:rFonts w:ascii="Arial" w:hAnsi="Arial" w:cs="Arial"/>
        </w:rPr>
        <w:t xml:space="preserve"> </w:t>
      </w:r>
      <w:r w:rsidR="006821C8" w:rsidRPr="00D82387">
        <w:rPr>
          <w:rFonts w:ascii="Arial" w:hAnsi="Arial" w:cs="Arial"/>
          <w:lang w:val="en-US"/>
        </w:rPr>
        <w:t>radiant</w:t>
      </w:r>
      <w:r w:rsidR="006821C8" w:rsidRPr="00D82387">
        <w:rPr>
          <w:rFonts w:ascii="Arial" w:hAnsi="Arial" w:cs="Arial"/>
        </w:rPr>
        <w:t xml:space="preserve"> </w:t>
      </w:r>
      <w:r w:rsidR="006821C8" w:rsidRPr="00D82387">
        <w:rPr>
          <w:rFonts w:ascii="Arial" w:hAnsi="Arial" w:cs="Arial"/>
          <w:lang w:val="en-US"/>
        </w:rPr>
        <w:t>tube</w:t>
      </w:r>
      <w:r w:rsidR="006821C8" w:rsidRPr="00D82387">
        <w:rPr>
          <w:rFonts w:ascii="Arial" w:hAnsi="Arial" w:cs="Arial"/>
        </w:rPr>
        <w:t xml:space="preserve"> </w:t>
      </w:r>
      <w:r w:rsidR="006821C8" w:rsidRPr="00D82387">
        <w:rPr>
          <w:rFonts w:ascii="Arial" w:hAnsi="Arial" w:cs="Arial"/>
          <w:lang w:val="en-US"/>
        </w:rPr>
        <w:t>heaters</w:t>
      </w:r>
      <w:r w:rsidR="006821C8" w:rsidRPr="00D82387">
        <w:rPr>
          <w:rFonts w:ascii="Arial" w:hAnsi="Arial" w:cs="Arial"/>
        </w:rPr>
        <w:t xml:space="preserve"> </w:t>
      </w:r>
      <w:r w:rsidR="006821C8" w:rsidRPr="00D82387">
        <w:rPr>
          <w:rFonts w:ascii="Arial" w:hAnsi="Arial" w:cs="Arial"/>
          <w:lang w:val="en-US"/>
        </w:rPr>
        <w:t>and</w:t>
      </w:r>
      <w:r w:rsidR="006821C8" w:rsidRPr="00D82387">
        <w:rPr>
          <w:rFonts w:ascii="Arial" w:hAnsi="Arial" w:cs="Arial"/>
        </w:rPr>
        <w:t xml:space="preserve"> </w:t>
      </w:r>
      <w:r w:rsidR="006821C8" w:rsidRPr="00D82387">
        <w:rPr>
          <w:rFonts w:ascii="Arial" w:hAnsi="Arial" w:cs="Arial"/>
          <w:lang w:val="en-US"/>
        </w:rPr>
        <w:t>radiant</w:t>
      </w:r>
      <w:r w:rsidR="006821C8" w:rsidRPr="00D82387">
        <w:rPr>
          <w:rFonts w:ascii="Arial" w:hAnsi="Arial" w:cs="Arial"/>
        </w:rPr>
        <w:t xml:space="preserve"> </w:t>
      </w:r>
      <w:r w:rsidR="006821C8" w:rsidRPr="00D82387">
        <w:rPr>
          <w:rFonts w:ascii="Arial" w:hAnsi="Arial" w:cs="Arial"/>
          <w:lang w:val="en-US"/>
        </w:rPr>
        <w:t>tube</w:t>
      </w:r>
      <w:r w:rsidR="006821C8" w:rsidRPr="00D82387">
        <w:rPr>
          <w:rFonts w:ascii="Arial" w:hAnsi="Arial" w:cs="Arial"/>
        </w:rPr>
        <w:t xml:space="preserve"> </w:t>
      </w:r>
      <w:r w:rsidR="006821C8" w:rsidRPr="00D82387">
        <w:rPr>
          <w:rFonts w:ascii="Arial" w:hAnsi="Arial" w:cs="Arial"/>
          <w:lang w:val="en-US"/>
        </w:rPr>
        <w:t>heater</w:t>
      </w:r>
      <w:r w:rsidR="006821C8" w:rsidRPr="00D82387">
        <w:rPr>
          <w:rFonts w:ascii="Arial" w:hAnsi="Arial" w:cs="Arial"/>
        </w:rPr>
        <w:t xml:space="preserve"> </w:t>
      </w:r>
      <w:r w:rsidR="006821C8" w:rsidRPr="00D82387">
        <w:rPr>
          <w:rFonts w:ascii="Arial" w:hAnsi="Arial" w:cs="Arial"/>
          <w:lang w:val="en-US"/>
        </w:rPr>
        <w:t>systems</w:t>
      </w:r>
      <w:r w:rsidR="006821C8" w:rsidRPr="00D82387">
        <w:rPr>
          <w:rFonts w:ascii="Arial" w:hAnsi="Arial" w:cs="Arial"/>
        </w:rPr>
        <w:t xml:space="preserve"> </w:t>
      </w:r>
      <w:r w:rsidR="006821C8" w:rsidRPr="00D82387">
        <w:rPr>
          <w:rFonts w:ascii="Arial" w:hAnsi="Arial" w:cs="Arial"/>
          <w:lang w:val="en-US"/>
        </w:rPr>
        <w:t>for</w:t>
      </w:r>
      <w:r w:rsidR="006821C8" w:rsidRPr="00D82387">
        <w:rPr>
          <w:rFonts w:ascii="Arial" w:hAnsi="Arial" w:cs="Arial"/>
        </w:rPr>
        <w:t xml:space="preserve"> </w:t>
      </w:r>
      <w:r w:rsidR="006821C8" w:rsidRPr="00D82387">
        <w:rPr>
          <w:rFonts w:ascii="Arial" w:hAnsi="Arial" w:cs="Arial"/>
          <w:lang w:val="en-US"/>
        </w:rPr>
        <w:t>non</w:t>
      </w:r>
      <w:r w:rsidR="006821C8" w:rsidRPr="00D82387">
        <w:rPr>
          <w:rFonts w:ascii="Arial" w:hAnsi="Arial" w:cs="Arial"/>
        </w:rPr>
        <w:t xml:space="preserve"> — </w:t>
      </w:r>
      <w:r w:rsidR="006821C8" w:rsidRPr="00D82387">
        <w:rPr>
          <w:rFonts w:ascii="Arial" w:hAnsi="Arial" w:cs="Arial"/>
          <w:lang w:val="en-US"/>
        </w:rPr>
        <w:t>domestic</w:t>
      </w:r>
      <w:r w:rsidR="006821C8" w:rsidRPr="00D82387">
        <w:rPr>
          <w:rFonts w:ascii="Arial" w:hAnsi="Arial" w:cs="Arial"/>
        </w:rPr>
        <w:t xml:space="preserve"> </w:t>
      </w:r>
      <w:r w:rsidR="006821C8" w:rsidRPr="00D82387">
        <w:rPr>
          <w:rFonts w:ascii="Arial" w:hAnsi="Arial" w:cs="Arial"/>
          <w:lang w:val="en-US"/>
        </w:rPr>
        <w:t>use</w:t>
      </w:r>
      <w:r w:rsidR="006821C8" w:rsidRPr="00D82387">
        <w:rPr>
          <w:rFonts w:ascii="Arial" w:hAnsi="Arial" w:cs="Arial"/>
        </w:rPr>
        <w:t xml:space="preserve"> – </w:t>
      </w:r>
      <w:r w:rsidR="006821C8" w:rsidRPr="00D82387">
        <w:rPr>
          <w:rFonts w:ascii="Arial" w:hAnsi="Arial" w:cs="Arial"/>
          <w:lang w:val="en-US"/>
        </w:rPr>
        <w:t>Safety</w:t>
      </w:r>
      <w:r w:rsidR="006821C8" w:rsidRPr="00D82387">
        <w:rPr>
          <w:rFonts w:ascii="Arial" w:hAnsi="Arial" w:cs="Arial"/>
        </w:rPr>
        <w:t xml:space="preserve"> </w:t>
      </w:r>
      <w:r w:rsidR="006821C8" w:rsidRPr="00D82387">
        <w:rPr>
          <w:rFonts w:ascii="Arial" w:hAnsi="Arial" w:cs="Arial"/>
          <w:lang w:val="en-US"/>
        </w:rPr>
        <w:t>and</w:t>
      </w:r>
      <w:r w:rsidR="006821C8" w:rsidRPr="00D82387">
        <w:rPr>
          <w:rFonts w:ascii="Arial" w:hAnsi="Arial" w:cs="Arial"/>
        </w:rPr>
        <w:t xml:space="preserve"> </w:t>
      </w:r>
      <w:r w:rsidR="006821C8" w:rsidRPr="00D82387">
        <w:rPr>
          <w:rFonts w:ascii="Arial" w:hAnsi="Arial" w:cs="Arial"/>
          <w:lang w:val="en-US"/>
        </w:rPr>
        <w:t>energy</w:t>
      </w:r>
      <w:r w:rsidR="006821C8" w:rsidRPr="00D82387">
        <w:rPr>
          <w:rFonts w:ascii="Arial" w:hAnsi="Arial" w:cs="Arial"/>
        </w:rPr>
        <w:t xml:space="preserve"> </w:t>
      </w:r>
      <w:r w:rsidR="006821C8" w:rsidRPr="00D82387">
        <w:rPr>
          <w:rFonts w:ascii="Arial" w:hAnsi="Arial" w:cs="Arial"/>
          <w:lang w:val="en-US"/>
        </w:rPr>
        <w:t>efficiency</w:t>
      </w:r>
      <w:r w:rsidR="006821C8" w:rsidRPr="00D82387">
        <w:rPr>
          <w:rFonts w:ascii="Arial" w:hAnsi="Arial" w:cs="Arial"/>
        </w:rPr>
        <w:t xml:space="preserve"> («Нагреватели трубчатые радиационные газовые потолочные с одной горелкой, не предназначенные для бытового применения. Безопасность и </w:t>
      </w:r>
      <w:proofErr w:type="spellStart"/>
      <w:r w:rsidR="006821C8" w:rsidRPr="00D82387">
        <w:rPr>
          <w:rFonts w:ascii="Arial" w:hAnsi="Arial" w:cs="Arial"/>
        </w:rPr>
        <w:t>энергоэффективность</w:t>
      </w:r>
      <w:proofErr w:type="spellEnd"/>
      <w:r w:rsidR="006821C8" w:rsidRPr="00D82387">
        <w:rPr>
          <w:rFonts w:ascii="Arial" w:hAnsi="Arial" w:cs="Arial"/>
        </w:rPr>
        <w:t>»)</w:t>
      </w:r>
    </w:p>
    <w:p w14:paraId="1B6F7324" w14:textId="77777777" w:rsidR="00D82387" w:rsidRPr="00D82387" w:rsidRDefault="00D82387" w:rsidP="00D82387">
      <w:pPr>
        <w:widowControl w:val="0"/>
        <w:ind w:right="23" w:firstLine="522"/>
        <w:jc w:val="both"/>
        <w:rPr>
          <w:rFonts w:ascii="Arial" w:eastAsia="Calibri" w:hAnsi="Arial" w:cs="Arial"/>
        </w:rPr>
      </w:pPr>
      <w:r w:rsidRPr="00D82387">
        <w:rPr>
          <w:rFonts w:ascii="Arial" w:eastAsia="Calibri" w:hAnsi="Arial" w:cs="Arial"/>
        </w:rPr>
        <w:t>Степень соответствия – идентичная (IDT).</w:t>
      </w:r>
    </w:p>
    <w:p w14:paraId="3323F218" w14:textId="77777777" w:rsidR="00CF0881" w:rsidRPr="003E71DB" w:rsidRDefault="00CF0881" w:rsidP="006821C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14:paraId="050B5FB5" w14:textId="77777777"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7 Сведения о разработчике стандарта</w:t>
      </w:r>
    </w:p>
    <w:p w14:paraId="20636631" w14:textId="77777777"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14:paraId="20542B90" w14:textId="0054F20B" w:rsidR="00910D2D" w:rsidRPr="00B05D2A" w:rsidRDefault="00910D2D" w:rsidP="003E71DB">
      <w:pPr>
        <w:ind w:firstLine="567"/>
        <w:jc w:val="both"/>
        <w:outlineLvl w:val="0"/>
        <w:rPr>
          <w:rFonts w:ascii="Arial" w:hAnsi="Arial" w:cs="Arial"/>
          <w:highlight w:val="yellow"/>
        </w:rPr>
      </w:pPr>
      <w:r w:rsidRPr="00B05D2A">
        <w:rPr>
          <w:rFonts w:ascii="Arial" w:hAnsi="Arial" w:cs="Arial"/>
          <w:highlight w:val="yellow"/>
        </w:rPr>
        <w:t xml:space="preserve">Разработчиком межгосударственного стандарта является </w:t>
      </w:r>
    </w:p>
    <w:p w14:paraId="5817EAE8" w14:textId="058B9531" w:rsidR="00910D2D" w:rsidRPr="00F26ECD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B05D2A">
        <w:rPr>
          <w:rFonts w:ascii="Arial" w:hAnsi="Arial" w:cs="Arial"/>
          <w:highlight w:val="yellow"/>
        </w:rPr>
        <w:lastRenderedPageBreak/>
        <w:t xml:space="preserve">Местонахождение: 010000, </w:t>
      </w:r>
      <w:proofErr w:type="spellStart"/>
      <w:r w:rsidRPr="00B05D2A">
        <w:rPr>
          <w:rFonts w:ascii="Arial" w:hAnsi="Arial" w:cs="Arial"/>
          <w:highlight w:val="yellow"/>
        </w:rPr>
        <w:t>г.Нур</w:t>
      </w:r>
      <w:proofErr w:type="spellEnd"/>
      <w:r w:rsidRPr="00B05D2A">
        <w:rPr>
          <w:rFonts w:ascii="Arial" w:hAnsi="Arial" w:cs="Arial"/>
          <w:highlight w:val="yellow"/>
        </w:rPr>
        <w:t xml:space="preserve">-Султан, пр. </w:t>
      </w:r>
    </w:p>
    <w:p w14:paraId="289BBDF2" w14:textId="40C7BF7D" w:rsidR="00910D2D" w:rsidRPr="006262C7" w:rsidRDefault="00910D2D" w:rsidP="003E71DB">
      <w:pPr>
        <w:ind w:firstLine="567"/>
        <w:jc w:val="both"/>
        <w:outlineLvl w:val="0"/>
        <w:rPr>
          <w:rFonts w:ascii="Arial" w:hAnsi="Arial" w:cs="Arial"/>
          <w:highlight w:val="yellow"/>
        </w:rPr>
      </w:pPr>
      <w:r w:rsidRPr="00B05D2A">
        <w:rPr>
          <w:rFonts w:ascii="Arial" w:hAnsi="Arial" w:cs="Arial"/>
          <w:highlight w:val="yellow"/>
          <w:lang w:val="en-US"/>
        </w:rPr>
        <w:t>E</w:t>
      </w:r>
      <w:r w:rsidRPr="006262C7">
        <w:rPr>
          <w:rFonts w:ascii="Arial" w:hAnsi="Arial" w:cs="Arial"/>
          <w:highlight w:val="yellow"/>
        </w:rPr>
        <w:t>-</w:t>
      </w:r>
      <w:r w:rsidRPr="00B05D2A">
        <w:rPr>
          <w:rFonts w:ascii="Arial" w:hAnsi="Arial" w:cs="Arial"/>
          <w:highlight w:val="yellow"/>
          <w:lang w:val="en-US"/>
        </w:rPr>
        <w:t>mail</w:t>
      </w:r>
      <w:r w:rsidRPr="006262C7">
        <w:rPr>
          <w:rFonts w:ascii="Arial" w:hAnsi="Arial" w:cs="Arial"/>
          <w:highlight w:val="yellow"/>
        </w:rPr>
        <w:t xml:space="preserve">: </w:t>
      </w:r>
    </w:p>
    <w:p w14:paraId="79D2A375" w14:textId="4A09EB96" w:rsidR="00910D2D" w:rsidRPr="00B05D2A" w:rsidRDefault="00910D2D" w:rsidP="003E71DB">
      <w:pPr>
        <w:ind w:firstLine="567"/>
        <w:jc w:val="both"/>
        <w:outlineLvl w:val="0"/>
        <w:rPr>
          <w:rFonts w:ascii="Arial" w:hAnsi="Arial" w:cs="Arial"/>
          <w:highlight w:val="yellow"/>
        </w:rPr>
      </w:pPr>
      <w:r w:rsidRPr="00B05D2A">
        <w:rPr>
          <w:rFonts w:ascii="Arial" w:hAnsi="Arial" w:cs="Arial"/>
          <w:highlight w:val="yellow"/>
        </w:rPr>
        <w:t>Тел.:</w:t>
      </w:r>
    </w:p>
    <w:p w14:paraId="20D5C8B3" w14:textId="77777777" w:rsidR="00CF0881" w:rsidRPr="00B05D2A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highlight w:val="yellow"/>
        </w:rPr>
      </w:pPr>
    </w:p>
    <w:p w14:paraId="448144FB" w14:textId="77777777" w:rsidR="00BB5E4C" w:rsidRPr="00B05D2A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highlight w:val="yellow"/>
        </w:rPr>
      </w:pPr>
    </w:p>
    <w:p w14:paraId="705A645B" w14:textId="30E969C6" w:rsidR="00BB5E4C" w:rsidRPr="003E71DB" w:rsidRDefault="00F0442E" w:rsidP="003E71DB">
      <w:pPr>
        <w:pStyle w:val="a3"/>
        <w:tabs>
          <w:tab w:val="left" w:pos="7371"/>
        </w:tabs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highlight w:val="yellow"/>
        </w:rPr>
        <w:t>Директор</w:t>
      </w:r>
      <w:r w:rsidR="003E71DB" w:rsidRPr="00B05D2A">
        <w:rPr>
          <w:rFonts w:ascii="Arial" w:hAnsi="Arial" w:cs="Arial"/>
          <w:b/>
          <w:highlight w:val="yellow"/>
        </w:rPr>
        <w:t xml:space="preserve"> </w:t>
      </w:r>
      <w:r w:rsidR="003E71DB" w:rsidRPr="00B05D2A">
        <w:rPr>
          <w:rFonts w:ascii="Arial" w:hAnsi="Arial" w:cs="Arial"/>
          <w:b/>
          <w:highlight w:val="yellow"/>
        </w:rPr>
        <w:tab/>
        <w:t xml:space="preserve"> </w:t>
      </w:r>
    </w:p>
    <w:sectPr w:rsidR="00BB5E4C" w:rsidRPr="003E71DB" w:rsidSect="001A3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E4C"/>
    <w:rsid w:val="000610C6"/>
    <w:rsid w:val="00094795"/>
    <w:rsid w:val="000D08E2"/>
    <w:rsid w:val="000D28DA"/>
    <w:rsid w:val="00181C07"/>
    <w:rsid w:val="001A38EB"/>
    <w:rsid w:val="001A706F"/>
    <w:rsid w:val="001D2D00"/>
    <w:rsid w:val="001D4110"/>
    <w:rsid w:val="002100F8"/>
    <w:rsid w:val="00236265"/>
    <w:rsid w:val="00283953"/>
    <w:rsid w:val="00291084"/>
    <w:rsid w:val="002A5F5B"/>
    <w:rsid w:val="002C425C"/>
    <w:rsid w:val="002C6280"/>
    <w:rsid w:val="002D7259"/>
    <w:rsid w:val="00355AF5"/>
    <w:rsid w:val="00360A42"/>
    <w:rsid w:val="0037696A"/>
    <w:rsid w:val="003B5B63"/>
    <w:rsid w:val="003D294E"/>
    <w:rsid w:val="003D3212"/>
    <w:rsid w:val="003E28F1"/>
    <w:rsid w:val="003E6FFD"/>
    <w:rsid w:val="003E71DB"/>
    <w:rsid w:val="003F0F18"/>
    <w:rsid w:val="003F4117"/>
    <w:rsid w:val="0040499D"/>
    <w:rsid w:val="004114BD"/>
    <w:rsid w:val="004455EC"/>
    <w:rsid w:val="004B7B66"/>
    <w:rsid w:val="004E7D78"/>
    <w:rsid w:val="005221DC"/>
    <w:rsid w:val="00525A15"/>
    <w:rsid w:val="005415A8"/>
    <w:rsid w:val="00550F1D"/>
    <w:rsid w:val="00556085"/>
    <w:rsid w:val="0058707C"/>
    <w:rsid w:val="005C0850"/>
    <w:rsid w:val="005C5A7B"/>
    <w:rsid w:val="005F0C28"/>
    <w:rsid w:val="006262C7"/>
    <w:rsid w:val="006316A7"/>
    <w:rsid w:val="00637572"/>
    <w:rsid w:val="00680E0D"/>
    <w:rsid w:val="006821C8"/>
    <w:rsid w:val="0069641C"/>
    <w:rsid w:val="006B1494"/>
    <w:rsid w:val="006B265A"/>
    <w:rsid w:val="006B485B"/>
    <w:rsid w:val="006C1FB5"/>
    <w:rsid w:val="007948F1"/>
    <w:rsid w:val="007D2772"/>
    <w:rsid w:val="008265B3"/>
    <w:rsid w:val="0086088F"/>
    <w:rsid w:val="008C4F89"/>
    <w:rsid w:val="008E2E06"/>
    <w:rsid w:val="008F1639"/>
    <w:rsid w:val="00910D2D"/>
    <w:rsid w:val="00985A69"/>
    <w:rsid w:val="009A6B02"/>
    <w:rsid w:val="009C11F6"/>
    <w:rsid w:val="00A66BDF"/>
    <w:rsid w:val="00AB046C"/>
    <w:rsid w:val="00AE1283"/>
    <w:rsid w:val="00AE1AE5"/>
    <w:rsid w:val="00AF317E"/>
    <w:rsid w:val="00B05D2A"/>
    <w:rsid w:val="00B14503"/>
    <w:rsid w:val="00B1775A"/>
    <w:rsid w:val="00B81F16"/>
    <w:rsid w:val="00BB5E4C"/>
    <w:rsid w:val="00C010F6"/>
    <w:rsid w:val="00C0708C"/>
    <w:rsid w:val="00C33401"/>
    <w:rsid w:val="00C45442"/>
    <w:rsid w:val="00C64103"/>
    <w:rsid w:val="00C841BA"/>
    <w:rsid w:val="00CF0881"/>
    <w:rsid w:val="00D01618"/>
    <w:rsid w:val="00D55F59"/>
    <w:rsid w:val="00D82387"/>
    <w:rsid w:val="00D97F1B"/>
    <w:rsid w:val="00DB4F08"/>
    <w:rsid w:val="00DB77FF"/>
    <w:rsid w:val="00DC24A6"/>
    <w:rsid w:val="00DC4349"/>
    <w:rsid w:val="00DE394A"/>
    <w:rsid w:val="00E02156"/>
    <w:rsid w:val="00E36F6C"/>
    <w:rsid w:val="00E66279"/>
    <w:rsid w:val="00E70DE0"/>
    <w:rsid w:val="00E7275F"/>
    <w:rsid w:val="00EC3937"/>
    <w:rsid w:val="00F0442E"/>
    <w:rsid w:val="00F11D82"/>
    <w:rsid w:val="00F2350E"/>
    <w:rsid w:val="00F26ECD"/>
    <w:rsid w:val="00F573FF"/>
    <w:rsid w:val="00F961D4"/>
    <w:rsid w:val="00FB694C"/>
    <w:rsid w:val="00FC1719"/>
    <w:rsid w:val="00FC1859"/>
    <w:rsid w:val="00FE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D8FB6"/>
  <w15:docId w15:val="{89CB1E24-8757-49BB-92C0-EF74E06E1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FontStyle282">
    <w:name w:val="Font Style282"/>
    <w:basedOn w:val="a0"/>
    <w:uiPriority w:val="99"/>
    <w:rsid w:val="006B265A"/>
    <w:rPr>
      <w:rFonts w:ascii="Arial" w:hAnsi="Arial" w:cs="Arial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18B34-F851-4362-8EFB-923B7FB93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Nazerke Kapkanova</cp:lastModifiedBy>
  <cp:revision>7</cp:revision>
  <dcterms:created xsi:type="dcterms:W3CDTF">2022-05-21T05:38:00Z</dcterms:created>
  <dcterms:modified xsi:type="dcterms:W3CDTF">2022-05-22T08:30:00Z</dcterms:modified>
</cp:coreProperties>
</file>